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26063E7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6E55EA5" w14:textId="77777777" w:rsidR="005F23EB" w:rsidRDefault="005F23EB" w:rsidP="005F23EB">
      <w:pPr>
        <w:ind w:left="720" w:firstLine="720"/>
        <w:rPr>
          <w:rFonts w:ascii="Corbel" w:hAnsi="Corbel"/>
          <w:b/>
          <w:color w:val="FF0000"/>
          <w:sz w:val="24"/>
          <w:szCs w:val="24"/>
          <w:lang w:val="cs-CZ"/>
        </w:rPr>
      </w:pPr>
    </w:p>
    <w:p w14:paraId="086CD5F5" w14:textId="77777777" w:rsidR="00517B74" w:rsidRPr="005F23EB" w:rsidRDefault="005F23EB" w:rsidP="005F23EB">
      <w:pPr>
        <w:ind w:left="720" w:firstLine="720"/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Working Paper k s</w:t>
      </w:r>
      <w:r w:rsidR="00B26128" w:rsidRPr="005F23EB">
        <w:rPr>
          <w:rFonts w:ascii="Corbel" w:hAnsi="Corbel"/>
          <w:b/>
          <w:color w:val="FF0000"/>
          <w:sz w:val="24"/>
          <w:szCs w:val="24"/>
          <w:lang w:val="cs-CZ"/>
        </w:rPr>
        <w:t>outěž</w:t>
      </w: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i</w:t>
      </w:r>
      <w:r w:rsidR="00B26128" w:rsidRPr="005F23EB">
        <w:rPr>
          <w:rFonts w:ascii="Corbel" w:hAnsi="Corbel"/>
          <w:b/>
          <w:color w:val="FF0000"/>
          <w:sz w:val="24"/>
          <w:szCs w:val="24"/>
          <w:lang w:val="cs-CZ"/>
        </w:rPr>
        <w:t xml:space="preserve"> na internetu a její regulac</w:t>
      </w: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i</w:t>
      </w:r>
    </w:p>
    <w:p w14:paraId="5258CEB3" w14:textId="77777777" w:rsidR="005F23EB" w:rsidRPr="005F23EB" w:rsidRDefault="005F23EB" w:rsidP="005F23EB">
      <w:pPr>
        <w:ind w:left="720" w:firstLine="720"/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b/>
          <w:sz w:val="24"/>
          <w:szCs w:val="24"/>
          <w:lang w:val="cs-CZ"/>
        </w:rPr>
        <w:t>Podklad k diskusi 12.  dubna 2016</w:t>
      </w:r>
    </w:p>
    <w:p w14:paraId="33FE99CC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495EE8BF" w14:textId="77777777" w:rsidR="00517B74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5913C5B8" w14:textId="77777777" w:rsidR="005F23EB" w:rsidRPr="005F23EB" w:rsidRDefault="005F23EB" w:rsidP="005F23EB">
      <w:pPr>
        <w:rPr>
          <w:rFonts w:ascii="Corbel" w:hAnsi="Corbel"/>
          <w:sz w:val="24"/>
          <w:szCs w:val="24"/>
          <w:lang w:val="cs-CZ"/>
        </w:rPr>
      </w:pPr>
    </w:p>
    <w:p w14:paraId="669517FB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 xml:space="preserve">Patnáct let po průlomovém rozhodnutí v případu Microsoft se pravidla ochrany hospodářské soutěže stahují kolem online světa nejen ve Spojených státech, ale především v Evropské unii a tím i na českém trhu. Nejde už zdaleka jen o největší dominantní firmy, </w:t>
      </w:r>
      <w:r w:rsidRPr="005F23EB">
        <w:rPr>
          <w:rFonts w:ascii="Corbel" w:hAnsi="Corbel"/>
          <w:sz w:val="24"/>
          <w:szCs w:val="24"/>
          <w:lang w:val="cs-CZ"/>
        </w:rPr>
        <w:t>dotýkají se i menších podnikatelů a oblastí, ve kterých to v dynamicky se rozvíjejícím prostředí vůbec nemusí očekávat. Národní antimonopolní úřad je v dané oblasti sice zatím zdánlivě nečinný, tím se ale může jeho reakce stát zcela nevyzpytatelnou. Hlavní</w:t>
      </w:r>
      <w:r w:rsidRPr="005F23EB">
        <w:rPr>
          <w:rFonts w:ascii="Corbel" w:hAnsi="Corbel"/>
          <w:sz w:val="24"/>
          <w:szCs w:val="24"/>
          <w:lang w:val="cs-CZ"/>
        </w:rPr>
        <w:t xml:space="preserve"> tíha regulace tak přichází především ze strany Evropské komise, čímž je domácím subjektům ztížena možnost účastnit se debaty o její podobě. </w:t>
      </w:r>
    </w:p>
    <w:p w14:paraId="00C5E6DB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43361DE6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Kromě dnes hojně diskutované doktríny regulace takzvaných online platforem jde hlavně o následující vybrané oblas</w:t>
      </w:r>
      <w:r w:rsidRPr="005F23EB">
        <w:rPr>
          <w:rFonts w:ascii="Corbel" w:hAnsi="Corbel"/>
          <w:sz w:val="24"/>
          <w:szCs w:val="24"/>
          <w:lang w:val="cs-CZ"/>
        </w:rPr>
        <w:t>ti:</w:t>
      </w:r>
    </w:p>
    <w:p w14:paraId="0E25DF32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5DF0298D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176DC63" w14:textId="77777777" w:rsidR="00517B74" w:rsidRPr="005F23EB" w:rsidRDefault="00B26128" w:rsidP="005F23EB">
      <w:pPr>
        <w:pStyle w:val="ListParagraph"/>
        <w:numPr>
          <w:ilvl w:val="0"/>
          <w:numId w:val="1"/>
        </w:num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Elektronický obchod</w:t>
      </w:r>
    </w:p>
    <w:p w14:paraId="27F1BDD3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</w:p>
    <w:p w14:paraId="000C04CC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 xml:space="preserve">Evropská komise a její DG Compet (Generální ředitelství pro hospodářskou soutěž) zahájila loni v květnu takzvané sektorové šetření v oblasti e-commerce. V polovině března pak představila první zprávu podle které zaznamenalo 12 </w:t>
      </w:r>
      <w:r w:rsidRPr="005F23EB">
        <w:rPr>
          <w:rFonts w:ascii="Corbel" w:hAnsi="Corbel"/>
          <w:sz w:val="24"/>
          <w:szCs w:val="24"/>
          <w:lang w:val="cs-CZ"/>
        </w:rPr>
        <w:t>procent z oslovených 14000 společností smluvní podmínky omezující soutěž. Šetření je součástí plánu na vytvoření Jednotného digitálního trhu se zbožím a službami a navazuje na letité doktríny Komise potvrzené Soudním dvorem EU. Jde především o pravidla urč</w:t>
      </w:r>
      <w:r w:rsidRPr="005F23EB">
        <w:rPr>
          <w:rFonts w:ascii="Corbel" w:hAnsi="Corbel"/>
          <w:sz w:val="24"/>
          <w:szCs w:val="24"/>
          <w:lang w:val="cs-CZ"/>
        </w:rPr>
        <w:t xml:space="preserve">ování cen, exkluzivity, omezování přeprodejů mezi jednotlivými trhy a další zpravidla vertikální restrikce v dohodách mezi distributory a prodejci. </w:t>
      </w:r>
    </w:p>
    <w:p w14:paraId="6820C1FA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4BBE72AE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První podoba závěrečné zprávy má být zveřejněna v polovině letošního roku k veřejné diskusi. Výstup sektor</w:t>
      </w:r>
      <w:r w:rsidRPr="005F23EB">
        <w:rPr>
          <w:rFonts w:ascii="Corbel" w:hAnsi="Corbel"/>
          <w:sz w:val="24"/>
          <w:szCs w:val="24"/>
          <w:lang w:val="cs-CZ"/>
        </w:rPr>
        <w:t>ového šetření pak určí pravidla v evropském e-commerce na další desetiletí a dotkne se prakticky všech firem podnikajících v odvětví.</w:t>
      </w:r>
    </w:p>
    <w:p w14:paraId="64426309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1DE4AB3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27E4AD97" w14:textId="77777777" w:rsidR="00517B74" w:rsidRPr="005F23EB" w:rsidRDefault="00B26128" w:rsidP="005F23EB">
      <w:pPr>
        <w:pStyle w:val="ListParagraph"/>
        <w:numPr>
          <w:ilvl w:val="0"/>
          <w:numId w:val="1"/>
        </w:num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Geoblocking a reforma autorských práv</w:t>
      </w:r>
    </w:p>
    <w:p w14:paraId="0AE4374D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</w:p>
    <w:p w14:paraId="702A3659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Sektorové šetření zasahuje nejen do oblasti prodeje fyzického zboží a služeb, a</w:t>
      </w:r>
      <w:r w:rsidRPr="005F23EB">
        <w:rPr>
          <w:rFonts w:ascii="Corbel" w:hAnsi="Corbel"/>
          <w:sz w:val="24"/>
          <w:szCs w:val="24"/>
          <w:lang w:val="cs-CZ"/>
        </w:rPr>
        <w:t xml:space="preserve">le pokrývá i ty digitální. Právě u nich je jednou z hlavních priorit současné Komise řešení problému takzvaného geoblockingu, tedy omezování využití určitého (především) obsahu na základě </w:t>
      </w:r>
      <w:r w:rsidRPr="005F23EB">
        <w:rPr>
          <w:rFonts w:ascii="Corbel" w:hAnsi="Corbel"/>
          <w:sz w:val="24"/>
          <w:szCs w:val="24"/>
          <w:lang w:val="cs-CZ"/>
        </w:rPr>
        <w:lastRenderedPageBreak/>
        <w:t>rozdělení na národní státy. Respektive rozdílná cenová politika a po</w:t>
      </w:r>
      <w:r w:rsidRPr="005F23EB">
        <w:rPr>
          <w:rFonts w:ascii="Corbel" w:hAnsi="Corbel"/>
          <w:sz w:val="24"/>
          <w:szCs w:val="24"/>
          <w:lang w:val="cs-CZ"/>
        </w:rPr>
        <w:t>litika udílení exkluzivních licencí na jednotlivých národních trzích. Místopředseda Komise pověřený digitální agendou Andrus Ansip se opakovaně vyjádřil v tom smyslu, že právě geoblocking je jednou z hlavních překážek sjednocení online trhu v EU.</w:t>
      </w:r>
    </w:p>
    <w:p w14:paraId="1E73E913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5FC13160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Iniciati</w:t>
      </w:r>
      <w:r w:rsidRPr="005F23EB">
        <w:rPr>
          <w:rFonts w:ascii="Corbel" w:hAnsi="Corbel"/>
          <w:sz w:val="24"/>
          <w:szCs w:val="24"/>
          <w:lang w:val="cs-CZ"/>
        </w:rPr>
        <w:t>va Komise v této oblasti úzce souvisí s probíhající snahou reformovat autorská práva tak, aby odpovídala potřebám obchodu s digitálním zbožím a službami. Podle názoru Komise by měla přestat být překážkou dalšího rozvoje jednotného digitálního trhu.</w:t>
      </w:r>
    </w:p>
    <w:p w14:paraId="119027EA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257EF08" w14:textId="77777777" w:rsidR="00517B74" w:rsidRPr="005F23EB" w:rsidRDefault="00B26128" w:rsidP="005F23EB">
      <w:pPr>
        <w:pStyle w:val="ListParagraph"/>
        <w:numPr>
          <w:ilvl w:val="0"/>
          <w:numId w:val="1"/>
        </w:num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Vyh</w:t>
      </w: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ledávání</w:t>
      </w:r>
    </w:p>
    <w:p w14:paraId="6279FA7E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</w:p>
    <w:p w14:paraId="7C8BA5E3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Aktivity Evropské komise jsou veřejně známy především díky šetření společnosti Google. Od sdělení výhrad uplynul nedávno právě rok a eurokomisařka pro hospodářskou soutěž Margrethe Vestager přislíbila, že rozhodnutí padne v letošním roce. S ohlede</w:t>
      </w:r>
      <w:r w:rsidRPr="005F23EB">
        <w:rPr>
          <w:rFonts w:ascii="Corbel" w:hAnsi="Corbel"/>
          <w:sz w:val="24"/>
          <w:szCs w:val="24"/>
          <w:lang w:val="cs-CZ"/>
        </w:rPr>
        <w:t>m na množství připomínek z celé EU včetně České republiky, se ale nedá odhadnout rychlost zpracování.</w:t>
      </w:r>
    </w:p>
    <w:p w14:paraId="1467E7CF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7134AADE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Vyšetřování míří na oblast vyhledávání a především zvýhodňováni vlastních výsledků oproti konkurenčním. V tom se mohou stanovená pravidla dotknout i např</w:t>
      </w:r>
      <w:r w:rsidRPr="005F23EB">
        <w:rPr>
          <w:rFonts w:ascii="Corbel" w:hAnsi="Corbel"/>
          <w:sz w:val="24"/>
          <w:szCs w:val="24"/>
          <w:lang w:val="cs-CZ"/>
        </w:rPr>
        <w:t>íklad oborových vyhledávačů a především metavyhledávačů a srovnávačů cen zboží a také reklamy, kterou nabízí. Další oblastí jsou samotné reklamní kontrakty uzavírané s partnery prostřednictvím reklamních sítí i mimo ně. Tady mohou mít výsledky bez nadsázky</w:t>
      </w:r>
      <w:r w:rsidRPr="005F23EB">
        <w:rPr>
          <w:rFonts w:ascii="Corbel" w:hAnsi="Corbel"/>
          <w:sz w:val="24"/>
          <w:szCs w:val="24"/>
          <w:lang w:val="cs-CZ"/>
        </w:rPr>
        <w:t xml:space="preserve"> celosektorový dopad. Prakticky oddělenou kapitolou jsou pak mobilní služby, kde je otázkou, jaká Komise stanoví pravidla pro dominantní systém Android. Tím může významně ovlivnit i poskytóvání služeb a prodej prostřednictvím mobilních aplikací. Tato oblas</w:t>
      </w:r>
      <w:r w:rsidRPr="005F23EB">
        <w:rPr>
          <w:rFonts w:ascii="Corbel" w:hAnsi="Corbel"/>
          <w:sz w:val="24"/>
          <w:szCs w:val="24"/>
          <w:lang w:val="cs-CZ"/>
        </w:rPr>
        <w:t>t na jednu stranu úzce souvisí s prosazovanou doktrínou online platforem, na tu druhou ale může zasáhnout i firmy, které mají do podřazení pod takovouto definici velmi daleko.</w:t>
      </w:r>
    </w:p>
    <w:p w14:paraId="0C8BE91C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E7A7E5B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6C4E692F" w14:textId="77777777" w:rsidR="00517B74" w:rsidRPr="005F23EB" w:rsidRDefault="00B26128" w:rsidP="005F23EB">
      <w:pPr>
        <w:pStyle w:val="ListParagraph"/>
        <w:numPr>
          <w:ilvl w:val="0"/>
          <w:numId w:val="1"/>
        </w:num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Daňová pravidla</w:t>
      </w:r>
    </w:p>
    <w:p w14:paraId="1726214B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</w:p>
    <w:p w14:paraId="2CD7FF68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Ochrana hospodářské soutěže začíná stále více zasahovat i do oblasti zdanění především přeshraničního obchodu, prodeje zboží a poskytování služeb. Záměrem Komise je zajistit, aby žádné subjekty, bez ohledu na jejich velikost a sídlo v některém členském stá</w:t>
      </w:r>
      <w:r w:rsidRPr="005F23EB">
        <w:rPr>
          <w:rFonts w:ascii="Corbel" w:hAnsi="Corbel"/>
          <w:sz w:val="24"/>
          <w:szCs w:val="24"/>
          <w:lang w:val="cs-CZ"/>
        </w:rPr>
        <w:t>tě, nebyly zvýhodněny oproti jiným na společném trhu. V současnosti jde především o dohody některých daňových orgánů například s Facebookem a Amazonem. Podle Komise by se ale mohlo jednat o protikonkurenční výhodu v podobě státní pomoci dané nižším zdanění</w:t>
      </w:r>
      <w:r w:rsidRPr="005F23EB">
        <w:rPr>
          <w:rFonts w:ascii="Corbel" w:hAnsi="Corbel"/>
          <w:sz w:val="24"/>
          <w:szCs w:val="24"/>
          <w:lang w:val="cs-CZ"/>
        </w:rPr>
        <w:t>m oproti jiným soutěžitelům. Pokud bude v této iniciativě pokračovat, může otevřít cestu až k do jisté míry harmonizaci daňové legislativy napříč unií.</w:t>
      </w:r>
    </w:p>
    <w:p w14:paraId="756E055B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18D06654" w14:textId="77777777" w:rsidR="00517B74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0DF25825" w14:textId="77777777" w:rsidR="005F23EB" w:rsidRPr="005F23EB" w:rsidRDefault="005F23EB" w:rsidP="005F23EB">
      <w:pPr>
        <w:rPr>
          <w:rFonts w:ascii="Corbel" w:hAnsi="Corbel"/>
          <w:sz w:val="24"/>
          <w:szCs w:val="24"/>
          <w:lang w:val="cs-CZ"/>
        </w:rPr>
      </w:pPr>
    </w:p>
    <w:p w14:paraId="252C3CB0" w14:textId="77777777" w:rsidR="00517B74" w:rsidRPr="005F23EB" w:rsidRDefault="00B26128" w:rsidP="005F23EB">
      <w:pPr>
        <w:pStyle w:val="ListParagraph"/>
        <w:numPr>
          <w:ilvl w:val="0"/>
          <w:numId w:val="1"/>
        </w:num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lastRenderedPageBreak/>
        <w:t>Osobní údaje</w:t>
      </w:r>
    </w:p>
    <w:p w14:paraId="2D20FD16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</w:p>
    <w:p w14:paraId="659A03F7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Z pohledu Komise může protisoutěžní výhodu zakládat i sběr a zpracování velkého množst</w:t>
      </w:r>
      <w:r w:rsidRPr="005F23EB">
        <w:rPr>
          <w:rFonts w:ascii="Corbel" w:hAnsi="Corbel"/>
          <w:sz w:val="24"/>
          <w:szCs w:val="24"/>
          <w:lang w:val="cs-CZ"/>
        </w:rPr>
        <w:t>ví osobních dat o zákaznících. Jde především o situace, kdy samotný přístup k datům je natolik exkluzivní a v takovém objemu, že sám o sobě zakládá výhodné postavení na trhu. Dosud ovšem nebylo nijak přesně specifikováno, kde leží taková hranice, prostor p</w:t>
      </w:r>
      <w:r w:rsidRPr="005F23EB">
        <w:rPr>
          <w:rFonts w:ascii="Corbel" w:hAnsi="Corbel"/>
          <w:sz w:val="24"/>
          <w:szCs w:val="24"/>
          <w:lang w:val="cs-CZ"/>
        </w:rPr>
        <w:t xml:space="preserve">ro výklad je velice široký a v souvislosti s novým a obecně platným nařízením může opět zasáhnout velmi širokou škálu podnikatelů. Jednou z klíčových otázek je přitom takzvaná interoperabilita, tedy možnost přechodu mezi jednotlivými poskytovateli právě i </w:t>
      </w:r>
      <w:r w:rsidRPr="005F23EB">
        <w:rPr>
          <w:rFonts w:ascii="Corbel" w:hAnsi="Corbel"/>
          <w:sz w:val="24"/>
          <w:szCs w:val="24"/>
          <w:lang w:val="cs-CZ"/>
        </w:rPr>
        <w:t>s přenesením osobních dat, případně nastavení.</w:t>
      </w:r>
    </w:p>
    <w:p w14:paraId="609705CD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1CC678F8" w14:textId="77777777" w:rsidR="00517B74" w:rsidRPr="005F23EB" w:rsidRDefault="00517B74" w:rsidP="005F23EB">
      <w:pPr>
        <w:rPr>
          <w:rFonts w:ascii="Corbel" w:hAnsi="Corbel"/>
          <w:sz w:val="24"/>
          <w:szCs w:val="24"/>
          <w:lang w:val="cs-CZ"/>
        </w:rPr>
      </w:pPr>
    </w:p>
    <w:p w14:paraId="051B805D" w14:textId="77777777" w:rsidR="00517B74" w:rsidRDefault="00B26128" w:rsidP="005F23EB">
      <w:pPr>
        <w:rPr>
          <w:rFonts w:ascii="Corbel" w:hAnsi="Corbel"/>
          <w:b/>
          <w:color w:val="FF0000"/>
          <w:sz w:val="24"/>
          <w:szCs w:val="24"/>
          <w:lang w:val="cs-CZ"/>
        </w:rPr>
      </w:pPr>
      <w:r w:rsidRPr="005F23EB">
        <w:rPr>
          <w:rFonts w:ascii="Corbel" w:hAnsi="Corbel"/>
          <w:b/>
          <w:color w:val="FF0000"/>
          <w:sz w:val="24"/>
          <w:szCs w:val="24"/>
          <w:lang w:val="cs-CZ"/>
        </w:rPr>
        <w:t>Nové obchodní modely a oblasti</w:t>
      </w:r>
    </w:p>
    <w:p w14:paraId="0B182117" w14:textId="77777777" w:rsidR="005F23EB" w:rsidRPr="005F23EB" w:rsidRDefault="005F23EB" w:rsidP="005F23EB">
      <w:pPr>
        <w:rPr>
          <w:rFonts w:ascii="Corbel" w:hAnsi="Corbel"/>
          <w:color w:val="FF0000"/>
          <w:sz w:val="24"/>
          <w:szCs w:val="24"/>
          <w:lang w:val="cs-CZ"/>
        </w:rPr>
      </w:pPr>
      <w:bookmarkStart w:id="0" w:name="_GoBack"/>
      <w:bookmarkEnd w:id="0"/>
    </w:p>
    <w:p w14:paraId="37BA36C3" w14:textId="77777777" w:rsidR="00517B74" w:rsidRPr="005F23EB" w:rsidRDefault="00B26128" w:rsidP="005F23EB">
      <w:pPr>
        <w:rPr>
          <w:rFonts w:ascii="Corbel" w:hAnsi="Corbel"/>
          <w:sz w:val="24"/>
          <w:szCs w:val="24"/>
          <w:lang w:val="cs-CZ"/>
        </w:rPr>
      </w:pPr>
      <w:r w:rsidRPr="005F23EB">
        <w:rPr>
          <w:rFonts w:ascii="Corbel" w:hAnsi="Corbel"/>
          <w:sz w:val="24"/>
          <w:szCs w:val="24"/>
          <w:lang w:val="cs-CZ"/>
        </w:rPr>
        <w:t>Pozornosti soutěžních regulátorů neunikají ani zcela nové obchodní modely. Zvláště v online prostředí si úspěšné firmy často budují svůj vlastní trh, na kterém pak logicky získ</w:t>
      </w:r>
      <w:r w:rsidRPr="005F23EB">
        <w:rPr>
          <w:rFonts w:ascii="Corbel" w:hAnsi="Corbel"/>
          <w:sz w:val="24"/>
          <w:szCs w:val="24"/>
          <w:lang w:val="cs-CZ"/>
        </w:rPr>
        <w:t xml:space="preserve">ávají dominanci. V případě, že přesáhnou určitou velikost, nebo se především rozhodnou k mezinárodní expanzi, dostávají se do hledáčku regulace. Některé obchodní modely pak mohou být sice funkční proti rychle rostoucí konkurenci, ale ze soutěžního pohledu </w:t>
      </w:r>
      <w:r w:rsidRPr="005F23EB">
        <w:rPr>
          <w:rFonts w:ascii="Corbel" w:hAnsi="Corbel"/>
          <w:sz w:val="24"/>
          <w:szCs w:val="24"/>
          <w:lang w:val="cs-CZ"/>
        </w:rPr>
        <w:t>problematické Komise sice deklarovala, že nechce bránit vzniku nových firem, na druhou stranu ale nehodlá slevit ani z cílů ochrany spotřebitele a soutěže na trhu.</w:t>
      </w:r>
    </w:p>
    <w:sectPr w:rsidR="00517B74" w:rsidRPr="005F23EB" w:rsidSect="005F23EB">
      <w:headerReference w:type="default" r:id="rId7"/>
      <w:pgSz w:w="11909" w:h="16834"/>
      <w:pgMar w:top="1727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2C0787" w14:textId="77777777" w:rsidR="00B26128" w:rsidRDefault="00B26128" w:rsidP="005F23EB">
      <w:pPr>
        <w:spacing w:line="240" w:lineRule="auto"/>
      </w:pPr>
      <w:r>
        <w:separator/>
      </w:r>
    </w:p>
  </w:endnote>
  <w:endnote w:type="continuationSeparator" w:id="0">
    <w:p w14:paraId="6BC00E22" w14:textId="77777777" w:rsidR="00B26128" w:rsidRDefault="00B26128" w:rsidP="005F2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6AE20" w14:textId="77777777" w:rsidR="00B26128" w:rsidRDefault="00B26128" w:rsidP="005F23EB">
      <w:pPr>
        <w:spacing w:line="240" w:lineRule="auto"/>
      </w:pPr>
      <w:r>
        <w:separator/>
      </w:r>
    </w:p>
  </w:footnote>
  <w:footnote w:type="continuationSeparator" w:id="0">
    <w:p w14:paraId="1D28F088" w14:textId="77777777" w:rsidR="00B26128" w:rsidRDefault="00B26128" w:rsidP="005F23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8D7627" w14:textId="77777777" w:rsidR="005F23EB" w:rsidRDefault="005F23E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4F7C8D7" wp14:editId="30E09AA0">
          <wp:simplePos x="0" y="0"/>
          <wp:positionH relativeFrom="margin">
            <wp:posOffset>5078730</wp:posOffset>
          </wp:positionH>
          <wp:positionV relativeFrom="margin">
            <wp:posOffset>-659130</wp:posOffset>
          </wp:positionV>
          <wp:extent cx="1219200" cy="710565"/>
          <wp:effectExtent l="0" t="0" r="0" b="635"/>
          <wp:wrapSquare wrapText="bothSides"/>
          <wp:docPr id="1" name="Picture 1" descr="Starý%20Mac%20PLOCHA/Institut%20pro%20digitální%20ekonomiku/Korporátní%20identita%20IDE/Logo%20IPDE%20CZ+ENG/Logo%20IDE%20česky.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ý%20Mac%20PLOCHA/Institut%20pro%20digitální%20ekonomiku/Korporátní%20identita%20IDE/Logo%20IPDE%20CZ+ENG/Logo%20IDE%20česky.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710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F3D13"/>
    <w:multiLevelType w:val="hybridMultilevel"/>
    <w:tmpl w:val="60A04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7B74"/>
    <w:rsid w:val="00517B74"/>
    <w:rsid w:val="005F23EB"/>
    <w:rsid w:val="00B2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8C0A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23E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3EB"/>
  </w:style>
  <w:style w:type="paragraph" w:styleId="Footer">
    <w:name w:val="footer"/>
    <w:basedOn w:val="Normal"/>
    <w:link w:val="FooterChar"/>
    <w:uiPriority w:val="99"/>
    <w:unhideWhenUsed/>
    <w:rsid w:val="005F23E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3EB"/>
  </w:style>
  <w:style w:type="paragraph" w:styleId="ListParagraph">
    <w:name w:val="List Paragraph"/>
    <w:basedOn w:val="Normal"/>
    <w:uiPriority w:val="34"/>
    <w:qFormat/>
    <w:rsid w:val="005F2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868</Words>
  <Characters>4953</Characters>
  <Application>Microsoft Macintosh Word</Application>
  <DocSecurity>0</DocSecurity>
  <Lines>41</Lines>
  <Paragraphs>11</Paragraphs>
  <ScaleCrop>false</ScaleCrop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Adamcová</cp:lastModifiedBy>
  <cp:revision>2</cp:revision>
  <dcterms:created xsi:type="dcterms:W3CDTF">2016-04-08T08:15:00Z</dcterms:created>
  <dcterms:modified xsi:type="dcterms:W3CDTF">2016-04-08T08:19:00Z</dcterms:modified>
</cp:coreProperties>
</file>